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3B6E0">
      <w:pPr>
        <w:rPr>
          <w:rFonts w:hint="eastAsia"/>
          <w:lang w:val="en-US" w:eastAsia="zh-CN"/>
        </w:rPr>
      </w:pPr>
      <w:r>
        <w:rPr>
          <w:rFonts w:hint="eastAsia"/>
          <w:lang w:val="en-US" w:eastAsia="zh-CN"/>
        </w:rPr>
        <w:t>附件1</w:t>
      </w:r>
    </w:p>
    <w:p w14:paraId="2955AEE9">
      <w:pPr>
        <w:jc w:val="center"/>
        <w:rPr>
          <w:rFonts w:hint="eastAsia" w:ascii="创艺简标宋" w:hAnsi="创艺简标宋" w:eastAsia="创艺简标宋" w:cs="创艺简标宋"/>
          <w:lang w:val="en-US" w:eastAsia="zh-CN"/>
        </w:rPr>
      </w:pPr>
      <w:r>
        <w:rPr>
          <w:rFonts w:hint="eastAsia" w:ascii="创艺简标宋" w:hAnsi="创艺简标宋" w:eastAsia="创艺简标宋" w:cs="创艺简标宋"/>
          <w:lang w:val="en-US" w:eastAsia="zh-CN"/>
        </w:rPr>
        <w:t>各类课程类型及要求</w:t>
      </w:r>
    </w:p>
    <w:tbl>
      <w:tblPr>
        <w:tblStyle w:val="3"/>
        <w:tblW w:w="9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4"/>
        <w:gridCol w:w="2977"/>
        <w:gridCol w:w="3091"/>
      </w:tblGrid>
      <w:tr w14:paraId="17F46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blHeader/>
          <w:jc w:val="center"/>
        </w:trPr>
        <w:tc>
          <w:tcPr>
            <w:tcW w:w="3884" w:type="dxa"/>
            <w:noWrap w:val="0"/>
            <w:vAlign w:val="center"/>
          </w:tcPr>
          <w:p w14:paraId="362C3C17">
            <w:pPr>
              <w:snapToGrid w:val="0"/>
              <w:jc w:val="center"/>
              <w:textAlignment w:val="baseline"/>
              <w:rPr>
                <w:rFonts w:hint="eastAsia"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rPr>
              <w:t>课程类</w:t>
            </w:r>
            <w:r>
              <w:rPr>
                <w:rFonts w:hint="eastAsia" w:asciiTheme="minorEastAsia" w:hAnsiTheme="minorEastAsia" w:eastAsiaTheme="minorEastAsia" w:cstheme="minorEastAsia"/>
                <w:b/>
                <w:sz w:val="24"/>
                <w:lang w:val="en-US" w:eastAsia="zh-CN"/>
              </w:rPr>
              <w:t>型</w:t>
            </w:r>
          </w:p>
        </w:tc>
        <w:tc>
          <w:tcPr>
            <w:tcW w:w="2977" w:type="dxa"/>
            <w:noWrap w:val="0"/>
            <w:vAlign w:val="center"/>
          </w:tcPr>
          <w:p w14:paraId="67938784">
            <w:pPr>
              <w:snapToGrid w:val="0"/>
              <w:jc w:val="center"/>
              <w:textAlignment w:val="baseline"/>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适用范围</w:t>
            </w:r>
          </w:p>
        </w:tc>
        <w:tc>
          <w:tcPr>
            <w:tcW w:w="3091" w:type="dxa"/>
            <w:noWrap w:val="0"/>
            <w:vAlign w:val="center"/>
          </w:tcPr>
          <w:p w14:paraId="3E406E31">
            <w:pPr>
              <w:snapToGrid w:val="0"/>
              <w:jc w:val="center"/>
              <w:textAlignment w:val="baseline"/>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具体要求</w:t>
            </w:r>
          </w:p>
        </w:tc>
      </w:tr>
      <w:tr w14:paraId="6B88C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vMerge w:val="restart"/>
            <w:noWrap w:val="0"/>
            <w:vAlign w:val="center"/>
          </w:tcPr>
          <w:p w14:paraId="11F72C11">
            <w:pPr>
              <w:snapToGrid w:val="0"/>
              <w:jc w:val="center"/>
              <w:textAlignment w:val="baseline"/>
              <w:rPr>
                <w:rFonts w:hint="eastAsia" w:asciiTheme="minorEastAsia" w:hAnsiTheme="minorEastAsia" w:eastAsiaTheme="minorEastAsia" w:cstheme="minorEastAsia"/>
                <w:sz w:val="22"/>
              </w:rPr>
            </w:pPr>
            <w:r>
              <w:rPr>
                <w:rStyle w:val="5"/>
                <w:rFonts w:hint="eastAsia" w:asciiTheme="minorEastAsia" w:hAnsiTheme="minorEastAsia" w:eastAsiaTheme="minorEastAsia" w:cstheme="minorEastAsia"/>
                <w:color w:val="auto"/>
                <w:sz w:val="22"/>
                <w:szCs w:val="24"/>
              </w:rPr>
              <w:t>实践课程</w:t>
            </w:r>
          </w:p>
        </w:tc>
        <w:tc>
          <w:tcPr>
            <w:tcW w:w="2977" w:type="dxa"/>
            <w:noWrap w:val="0"/>
            <w:vAlign w:val="center"/>
          </w:tcPr>
          <w:p w14:paraId="08DB80A9">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工程类硕士专业学位类别</w:t>
            </w:r>
          </w:p>
        </w:tc>
        <w:tc>
          <w:tcPr>
            <w:tcW w:w="3091" w:type="dxa"/>
            <w:noWrap w:val="0"/>
            <w:vAlign w:val="center"/>
          </w:tcPr>
          <w:p w14:paraId="3A8F1F5A">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学时数</w:t>
            </w:r>
            <w:r>
              <w:rPr>
                <w:rFonts w:hint="eastAsia" w:asciiTheme="minorEastAsia" w:hAnsiTheme="minorEastAsia" w:eastAsiaTheme="minorEastAsia" w:cstheme="minorEastAsia"/>
                <w:sz w:val="22"/>
                <w:szCs w:val="21"/>
                <w:shd w:val="clear" w:color="auto" w:fill="FFFFFF"/>
              </w:rPr>
              <w:t>≥</w:t>
            </w:r>
            <w:r>
              <w:rPr>
                <w:rFonts w:hint="eastAsia" w:asciiTheme="minorEastAsia" w:hAnsiTheme="minorEastAsia" w:eastAsiaTheme="minorEastAsia" w:cstheme="minorEastAsia"/>
                <w:sz w:val="22"/>
                <w:szCs w:val="21"/>
                <w:shd w:val="clear" w:color="auto" w:fill="FFFFFF"/>
                <w:lang w:val="en-US" w:eastAsia="zh-CN"/>
              </w:rPr>
              <w:t>32</w:t>
            </w:r>
            <w:bookmarkStart w:id="0" w:name="_GoBack"/>
            <w:bookmarkEnd w:id="0"/>
            <w:r>
              <w:rPr>
                <w:rFonts w:hint="eastAsia" w:asciiTheme="minorEastAsia" w:hAnsiTheme="minorEastAsia" w:eastAsiaTheme="minorEastAsia" w:cstheme="minorEastAsia"/>
                <w:sz w:val="22"/>
                <w:szCs w:val="21"/>
                <w:shd w:val="clear" w:color="auto" w:fill="FFFFFF"/>
              </w:rPr>
              <w:t>学时</w:t>
            </w:r>
          </w:p>
        </w:tc>
      </w:tr>
      <w:tr w14:paraId="07A1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vMerge w:val="continue"/>
            <w:noWrap w:val="0"/>
            <w:vAlign w:val="center"/>
          </w:tcPr>
          <w:p w14:paraId="756F59C6">
            <w:pPr>
              <w:snapToGrid w:val="0"/>
              <w:jc w:val="center"/>
              <w:textAlignment w:val="baseline"/>
              <w:rPr>
                <w:rStyle w:val="5"/>
                <w:rFonts w:hint="eastAsia" w:asciiTheme="minorEastAsia" w:hAnsiTheme="minorEastAsia" w:eastAsiaTheme="minorEastAsia" w:cstheme="minorEastAsia"/>
                <w:color w:val="auto"/>
                <w:sz w:val="22"/>
                <w:szCs w:val="24"/>
              </w:rPr>
            </w:pPr>
          </w:p>
        </w:tc>
        <w:tc>
          <w:tcPr>
            <w:tcW w:w="6068" w:type="dxa"/>
            <w:gridSpan w:val="2"/>
            <w:noWrap w:val="0"/>
            <w:vAlign w:val="center"/>
          </w:tcPr>
          <w:p w14:paraId="7C8A54E5">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kern w:val="0"/>
                <w:sz w:val="22"/>
              </w:rPr>
              <w:t>其他硕士专业学位类别按</w:t>
            </w:r>
            <w:r>
              <w:rPr>
                <w:rFonts w:hint="eastAsia" w:asciiTheme="minorEastAsia" w:hAnsiTheme="minorEastAsia" w:eastAsiaTheme="minorEastAsia" w:cstheme="minorEastAsia"/>
                <w:sz w:val="22"/>
              </w:rPr>
              <w:t>指导性培养方案执行</w:t>
            </w:r>
          </w:p>
        </w:tc>
      </w:tr>
      <w:tr w14:paraId="3D917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vMerge w:val="restart"/>
            <w:noWrap w:val="0"/>
            <w:vAlign w:val="center"/>
          </w:tcPr>
          <w:p w14:paraId="4B536159">
            <w:pPr>
              <w:snapToGrid w:val="0"/>
              <w:jc w:val="center"/>
              <w:textAlignment w:val="baseline"/>
              <w:rPr>
                <w:rFonts w:hint="eastAsia" w:asciiTheme="minorEastAsia" w:hAnsiTheme="minorEastAsia" w:eastAsiaTheme="minorEastAsia" w:cstheme="minorEastAsia"/>
                <w:sz w:val="22"/>
              </w:rPr>
            </w:pPr>
            <w:r>
              <w:rPr>
                <w:rStyle w:val="5"/>
                <w:rFonts w:hint="eastAsia" w:asciiTheme="minorEastAsia" w:hAnsiTheme="minorEastAsia" w:eastAsiaTheme="minorEastAsia" w:cstheme="minorEastAsia"/>
                <w:color w:val="auto"/>
                <w:sz w:val="22"/>
                <w:szCs w:val="24"/>
              </w:rPr>
              <w:t>案例教学课程</w:t>
            </w:r>
          </w:p>
        </w:tc>
        <w:tc>
          <w:tcPr>
            <w:tcW w:w="2977" w:type="dxa"/>
            <w:noWrap w:val="0"/>
            <w:vAlign w:val="center"/>
          </w:tcPr>
          <w:p w14:paraId="6D71212A">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工程类硕士专业学位类别</w:t>
            </w:r>
          </w:p>
        </w:tc>
        <w:tc>
          <w:tcPr>
            <w:tcW w:w="3091" w:type="dxa"/>
            <w:noWrap w:val="0"/>
            <w:vAlign w:val="center"/>
          </w:tcPr>
          <w:p w14:paraId="6CB23844">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学时数</w:t>
            </w:r>
            <w:r>
              <w:rPr>
                <w:rFonts w:hint="eastAsia" w:asciiTheme="minorEastAsia" w:hAnsiTheme="minorEastAsia" w:eastAsiaTheme="minorEastAsia" w:cstheme="minorEastAsia"/>
                <w:sz w:val="22"/>
                <w:szCs w:val="21"/>
                <w:shd w:val="clear" w:color="auto" w:fill="FFFFFF"/>
              </w:rPr>
              <w:t>≥32学时</w:t>
            </w:r>
          </w:p>
        </w:tc>
      </w:tr>
      <w:tr w14:paraId="2771C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vMerge w:val="continue"/>
            <w:noWrap w:val="0"/>
            <w:vAlign w:val="center"/>
          </w:tcPr>
          <w:p w14:paraId="0E082D6D">
            <w:pPr>
              <w:snapToGrid w:val="0"/>
              <w:jc w:val="center"/>
              <w:textAlignment w:val="baseline"/>
              <w:rPr>
                <w:rStyle w:val="5"/>
                <w:rFonts w:hint="eastAsia" w:asciiTheme="minorEastAsia" w:hAnsiTheme="minorEastAsia" w:eastAsiaTheme="minorEastAsia" w:cstheme="minorEastAsia"/>
                <w:color w:val="auto"/>
                <w:sz w:val="22"/>
                <w:szCs w:val="24"/>
              </w:rPr>
            </w:pPr>
          </w:p>
        </w:tc>
        <w:tc>
          <w:tcPr>
            <w:tcW w:w="6068" w:type="dxa"/>
            <w:gridSpan w:val="2"/>
            <w:noWrap w:val="0"/>
            <w:vAlign w:val="center"/>
          </w:tcPr>
          <w:p w14:paraId="50BC1AF6">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kern w:val="0"/>
                <w:sz w:val="22"/>
              </w:rPr>
              <w:t>其他硕士专业学位类别按</w:t>
            </w:r>
            <w:r>
              <w:rPr>
                <w:rFonts w:hint="eastAsia" w:asciiTheme="minorEastAsia" w:hAnsiTheme="minorEastAsia" w:eastAsiaTheme="minorEastAsia" w:cstheme="minorEastAsia"/>
                <w:sz w:val="22"/>
              </w:rPr>
              <w:t>指导性培养方案执行</w:t>
            </w:r>
          </w:p>
        </w:tc>
      </w:tr>
      <w:tr w14:paraId="5AD89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3884" w:type="dxa"/>
            <w:vMerge w:val="restart"/>
            <w:noWrap w:val="0"/>
            <w:vAlign w:val="center"/>
          </w:tcPr>
          <w:p w14:paraId="46BCE7A6">
            <w:pPr>
              <w:snapToGrid w:val="0"/>
              <w:jc w:val="center"/>
              <w:textAlignment w:val="baseline"/>
              <w:rPr>
                <w:rFonts w:hint="eastAsia" w:asciiTheme="minorEastAsia" w:hAnsiTheme="minorEastAsia" w:eastAsiaTheme="minorEastAsia" w:cstheme="minorEastAsia"/>
                <w:sz w:val="22"/>
              </w:rPr>
            </w:pPr>
            <w:r>
              <w:rPr>
                <w:rStyle w:val="5"/>
                <w:rFonts w:hint="eastAsia" w:asciiTheme="minorEastAsia" w:hAnsiTheme="minorEastAsia" w:eastAsiaTheme="minorEastAsia" w:cstheme="minorEastAsia"/>
                <w:color w:val="auto"/>
                <w:sz w:val="22"/>
                <w:szCs w:val="24"/>
              </w:rPr>
              <w:t>校企合作课程</w:t>
            </w:r>
          </w:p>
        </w:tc>
        <w:tc>
          <w:tcPr>
            <w:tcW w:w="2977" w:type="dxa"/>
            <w:noWrap w:val="0"/>
            <w:vAlign w:val="center"/>
          </w:tcPr>
          <w:p w14:paraId="669F0FD0">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工程类硕士专业学位类别</w:t>
            </w:r>
          </w:p>
        </w:tc>
        <w:tc>
          <w:tcPr>
            <w:tcW w:w="3091" w:type="dxa"/>
            <w:noWrap w:val="0"/>
            <w:vAlign w:val="center"/>
          </w:tcPr>
          <w:p w14:paraId="0466B1C6">
            <w:pPr>
              <w:snapToGrid w:val="0"/>
              <w:jc w:val="center"/>
              <w:textAlignment w:val="baseline"/>
              <w:rPr>
                <w:rFonts w:hint="eastAsia" w:asciiTheme="minorEastAsia" w:hAnsiTheme="minorEastAsia" w:eastAsiaTheme="minorEastAsia" w:cstheme="minorEastAsia"/>
                <w:sz w:val="22"/>
                <w:szCs w:val="21"/>
                <w:shd w:val="clear" w:color="auto" w:fill="FFFFFF"/>
              </w:rPr>
            </w:pPr>
            <w:r>
              <w:rPr>
                <w:rFonts w:hint="eastAsia" w:asciiTheme="minorEastAsia" w:hAnsiTheme="minorEastAsia" w:eastAsiaTheme="minorEastAsia" w:cstheme="minorEastAsia"/>
                <w:sz w:val="22"/>
              </w:rPr>
              <w:t>学时数</w:t>
            </w:r>
            <w:r>
              <w:rPr>
                <w:rFonts w:hint="eastAsia" w:asciiTheme="minorEastAsia" w:hAnsiTheme="minorEastAsia" w:eastAsiaTheme="minorEastAsia" w:cstheme="minorEastAsia"/>
                <w:sz w:val="22"/>
                <w:szCs w:val="21"/>
                <w:shd w:val="clear" w:color="auto" w:fill="FFFFFF"/>
              </w:rPr>
              <w:t>≥32学时</w:t>
            </w:r>
          </w:p>
          <w:p w14:paraId="6491EC8D">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（其中</w:t>
            </w:r>
            <w:r>
              <w:rPr>
                <w:rFonts w:hint="eastAsia" w:asciiTheme="minorEastAsia" w:hAnsiTheme="minorEastAsia" w:eastAsiaTheme="minorEastAsia" w:cstheme="minorEastAsia"/>
                <w:kern w:val="0"/>
                <w:sz w:val="22"/>
              </w:rPr>
              <w:t>在企业开展的校企合作课程</w:t>
            </w:r>
            <w:r>
              <w:rPr>
                <w:rFonts w:hint="eastAsia" w:asciiTheme="minorEastAsia" w:hAnsiTheme="minorEastAsia" w:eastAsiaTheme="minorEastAsia" w:cstheme="minorEastAsia"/>
                <w:sz w:val="22"/>
                <w:szCs w:val="21"/>
                <w:shd w:val="clear" w:color="auto" w:fill="FFFFFF"/>
              </w:rPr>
              <w:t>≥8学时）</w:t>
            </w:r>
          </w:p>
        </w:tc>
      </w:tr>
      <w:tr w14:paraId="43F52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vMerge w:val="continue"/>
            <w:noWrap w:val="0"/>
            <w:vAlign w:val="center"/>
          </w:tcPr>
          <w:p w14:paraId="6E5FF2D5">
            <w:pPr>
              <w:snapToGrid w:val="0"/>
              <w:jc w:val="center"/>
              <w:textAlignment w:val="baseline"/>
              <w:rPr>
                <w:rStyle w:val="5"/>
                <w:rFonts w:hint="eastAsia" w:asciiTheme="minorEastAsia" w:hAnsiTheme="minorEastAsia" w:eastAsiaTheme="minorEastAsia" w:cstheme="minorEastAsia"/>
                <w:color w:val="auto"/>
                <w:sz w:val="22"/>
                <w:szCs w:val="24"/>
              </w:rPr>
            </w:pPr>
          </w:p>
        </w:tc>
        <w:tc>
          <w:tcPr>
            <w:tcW w:w="6068" w:type="dxa"/>
            <w:gridSpan w:val="2"/>
            <w:noWrap w:val="0"/>
            <w:vAlign w:val="center"/>
          </w:tcPr>
          <w:p w14:paraId="33679AB6">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kern w:val="0"/>
                <w:sz w:val="22"/>
              </w:rPr>
              <w:t>其他硕士专业学位类别按</w:t>
            </w:r>
            <w:r>
              <w:rPr>
                <w:rFonts w:hint="eastAsia" w:asciiTheme="minorEastAsia" w:hAnsiTheme="minorEastAsia" w:eastAsiaTheme="minorEastAsia" w:cstheme="minorEastAsia"/>
                <w:sz w:val="22"/>
              </w:rPr>
              <w:t>指导性培养方案执行</w:t>
            </w:r>
          </w:p>
        </w:tc>
      </w:tr>
      <w:tr w14:paraId="3716B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noWrap w:val="0"/>
            <w:vAlign w:val="center"/>
          </w:tcPr>
          <w:p w14:paraId="796A95D4">
            <w:pPr>
              <w:snapToGrid w:val="0"/>
              <w:jc w:val="center"/>
              <w:textAlignment w:val="baseline"/>
              <w:rPr>
                <w:rStyle w:val="5"/>
                <w:rFonts w:hint="eastAsia" w:asciiTheme="minorEastAsia" w:hAnsiTheme="minorEastAsia" w:eastAsiaTheme="minorEastAsia" w:cstheme="minorEastAsia"/>
                <w:color w:val="auto"/>
                <w:sz w:val="22"/>
                <w:szCs w:val="24"/>
              </w:rPr>
            </w:pPr>
            <w:r>
              <w:rPr>
                <w:rFonts w:hint="eastAsia" w:asciiTheme="minorEastAsia" w:hAnsiTheme="minorEastAsia" w:eastAsiaTheme="minorEastAsia" w:cstheme="minorEastAsia"/>
                <w:sz w:val="22"/>
              </w:rPr>
              <w:t>技术前沿课程</w:t>
            </w:r>
          </w:p>
        </w:tc>
        <w:tc>
          <w:tcPr>
            <w:tcW w:w="6068" w:type="dxa"/>
            <w:gridSpan w:val="2"/>
            <w:noWrap w:val="0"/>
            <w:vAlign w:val="center"/>
          </w:tcPr>
          <w:p w14:paraId="1F36B0F4">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鼓励各专业学位类别开设</w:t>
            </w:r>
          </w:p>
        </w:tc>
      </w:tr>
      <w:tr w14:paraId="6BF70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noWrap w:val="0"/>
            <w:vAlign w:val="center"/>
          </w:tcPr>
          <w:p w14:paraId="3A2ACB5C">
            <w:pPr>
              <w:snapToGrid w:val="0"/>
              <w:jc w:val="center"/>
              <w:textAlignment w:val="baseline"/>
              <w:rPr>
                <w:rStyle w:val="5"/>
                <w:rFonts w:hint="eastAsia" w:asciiTheme="minorEastAsia" w:hAnsiTheme="minorEastAsia" w:eastAsiaTheme="minorEastAsia" w:cstheme="minorEastAsia"/>
                <w:color w:val="auto"/>
                <w:sz w:val="22"/>
                <w:szCs w:val="24"/>
              </w:rPr>
            </w:pPr>
            <w:r>
              <w:rPr>
                <w:rStyle w:val="5"/>
                <w:rFonts w:hint="eastAsia" w:asciiTheme="minorEastAsia" w:hAnsiTheme="minorEastAsia" w:eastAsiaTheme="minorEastAsia" w:cstheme="minorEastAsia"/>
                <w:color w:val="auto"/>
                <w:sz w:val="22"/>
                <w:szCs w:val="24"/>
              </w:rPr>
              <w:t>职业资格课程</w:t>
            </w:r>
          </w:p>
        </w:tc>
        <w:tc>
          <w:tcPr>
            <w:tcW w:w="6068" w:type="dxa"/>
            <w:gridSpan w:val="2"/>
            <w:noWrap w:val="0"/>
            <w:vAlign w:val="center"/>
          </w:tcPr>
          <w:p w14:paraId="306F0A13">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鼓励各专业学位类别开设</w:t>
            </w:r>
          </w:p>
        </w:tc>
      </w:tr>
      <w:tr w14:paraId="2E2F3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3884" w:type="dxa"/>
            <w:noWrap w:val="0"/>
            <w:vAlign w:val="center"/>
          </w:tcPr>
          <w:p w14:paraId="6FB5EB36">
            <w:pPr>
              <w:snapToGrid w:val="0"/>
              <w:jc w:val="center"/>
              <w:textAlignment w:val="baseline"/>
              <w:rPr>
                <w:rStyle w:val="5"/>
                <w:rFonts w:hint="eastAsia" w:asciiTheme="minorEastAsia" w:hAnsiTheme="minorEastAsia" w:eastAsiaTheme="minorEastAsia" w:cstheme="minorEastAsia"/>
                <w:color w:val="auto"/>
                <w:sz w:val="22"/>
                <w:szCs w:val="24"/>
              </w:rPr>
            </w:pPr>
            <w:r>
              <w:rPr>
                <w:rStyle w:val="5"/>
                <w:rFonts w:hint="eastAsia" w:asciiTheme="minorEastAsia" w:hAnsiTheme="minorEastAsia" w:eastAsiaTheme="minorEastAsia" w:cstheme="minorEastAsia"/>
                <w:color w:val="auto"/>
                <w:sz w:val="22"/>
                <w:szCs w:val="24"/>
              </w:rPr>
              <w:t>创新创业课程</w:t>
            </w:r>
          </w:p>
        </w:tc>
        <w:tc>
          <w:tcPr>
            <w:tcW w:w="6068" w:type="dxa"/>
            <w:gridSpan w:val="2"/>
            <w:noWrap w:val="0"/>
            <w:vAlign w:val="center"/>
          </w:tcPr>
          <w:p w14:paraId="0139B962">
            <w:pPr>
              <w:snapToGrid w:val="0"/>
              <w:jc w:val="center"/>
              <w:textAlignment w:val="baseline"/>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鼓励各专业学位类别开设</w:t>
            </w:r>
          </w:p>
        </w:tc>
      </w:tr>
    </w:tbl>
    <w:p w14:paraId="0D1A2F6F">
      <w:pPr>
        <w:rPr>
          <w:rFonts w:hint="default"/>
          <w:lang w:val="en-US" w:eastAsia="zh-CN"/>
        </w:rPr>
      </w:pPr>
    </w:p>
    <w:p w14:paraId="40C76B31">
      <w:pPr>
        <w:spacing w:line="360" w:lineRule="auto"/>
        <w:ind w:firstLine="482" w:firstLineChars="200"/>
        <w:outlineLvl w:val="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相关课程具体要求如下：</w:t>
      </w:r>
    </w:p>
    <w:p w14:paraId="4EB2F316">
      <w:pPr>
        <w:numPr>
          <w:ilvl w:val="0"/>
          <w:numId w:val="0"/>
        </w:numPr>
        <w:spacing w:line="360" w:lineRule="auto"/>
        <w:ind w:left="842" w:leftChars="0" w:hanging="360" w:firstLineChars="0"/>
        <w:jc w:val="left"/>
        <w:rPr>
          <w:rStyle w:val="5"/>
          <w:rFonts w:hint="eastAsia" w:asciiTheme="minorEastAsia" w:hAnsiTheme="minorEastAsia" w:eastAsiaTheme="minorEastAsia" w:cstheme="minorEastAsia"/>
          <w:b/>
          <w:color w:val="auto"/>
          <w:sz w:val="24"/>
          <w:szCs w:val="24"/>
        </w:rPr>
      </w:pPr>
      <w:r>
        <w:rPr>
          <w:rFonts w:hint="default" w:asciiTheme="minorEastAsia" w:hAnsiTheme="minorEastAsia" w:eastAsiaTheme="minorEastAsia" w:cstheme="minorEastAsia"/>
          <w:b/>
          <w:color w:val="auto"/>
          <w:kern w:val="2"/>
          <w:sz w:val="24"/>
          <w:szCs w:val="24"/>
          <w:lang w:val="en-US" w:eastAsia="zh-CN" w:bidi="ar-SA"/>
        </w:rPr>
        <w:t>1.</w:t>
      </w:r>
      <w:r>
        <w:rPr>
          <w:rStyle w:val="5"/>
          <w:rFonts w:hint="eastAsia" w:asciiTheme="minorEastAsia" w:hAnsiTheme="minorEastAsia" w:eastAsiaTheme="minorEastAsia" w:cstheme="minorEastAsia"/>
          <w:b/>
          <w:color w:val="auto"/>
          <w:sz w:val="24"/>
          <w:szCs w:val="24"/>
        </w:rPr>
        <w:t>实践课程</w:t>
      </w:r>
    </w:p>
    <w:p w14:paraId="78FFFFA0">
      <w:pPr>
        <w:pStyle w:val="2"/>
        <w:snapToGrid w:val="0"/>
        <w:spacing w:line="360" w:lineRule="auto"/>
        <w:ind w:firstLine="480" w:firstLineChars="200"/>
        <w:rPr>
          <w:rStyle w:val="5"/>
          <w:rFonts w:hint="eastAsia" w:asciiTheme="minorEastAsia" w:hAnsiTheme="minorEastAsia" w:eastAsiaTheme="minorEastAsia" w:cstheme="minorEastAsia"/>
          <w:color w:val="auto"/>
          <w:sz w:val="24"/>
          <w:szCs w:val="24"/>
        </w:rPr>
      </w:pPr>
      <w:r>
        <w:rPr>
          <w:rStyle w:val="5"/>
          <w:rFonts w:hint="eastAsia" w:asciiTheme="minorEastAsia" w:hAnsiTheme="minorEastAsia" w:eastAsiaTheme="minorEastAsia" w:cstheme="minorEastAsia"/>
          <w:color w:val="auto"/>
          <w:sz w:val="24"/>
          <w:szCs w:val="24"/>
        </w:rPr>
        <w:t>实践课程是指学习内容除原理性的知识外还需要一定的实践教学对知识进行巩固和验证,具有较大的工程技术特点的课程，包括与学科应用技术相关的硬件、软件设计或机构设计；在实践基地进行工程设计、项目研究等方面的课程等，如专业实验课、企业工程类课程、技术或方法类课程、工程案例等课程。</w:t>
      </w:r>
    </w:p>
    <w:p w14:paraId="4F90D3D9">
      <w:pPr>
        <w:numPr>
          <w:ilvl w:val="0"/>
          <w:numId w:val="0"/>
        </w:numPr>
        <w:spacing w:line="360" w:lineRule="auto"/>
        <w:ind w:left="842" w:leftChars="0" w:hanging="360" w:firstLineChars="0"/>
        <w:jc w:val="left"/>
        <w:rPr>
          <w:rStyle w:val="5"/>
          <w:rFonts w:hint="eastAsia" w:asciiTheme="minorEastAsia" w:hAnsiTheme="minorEastAsia" w:eastAsiaTheme="minorEastAsia" w:cstheme="minorEastAsia"/>
          <w:b/>
          <w:color w:val="auto"/>
          <w:sz w:val="24"/>
          <w:szCs w:val="24"/>
        </w:rPr>
      </w:pPr>
      <w:r>
        <w:rPr>
          <w:rFonts w:hint="default" w:asciiTheme="minorEastAsia" w:hAnsiTheme="minorEastAsia" w:eastAsiaTheme="minorEastAsia" w:cstheme="minorEastAsia"/>
          <w:b/>
          <w:color w:val="auto"/>
          <w:kern w:val="2"/>
          <w:sz w:val="24"/>
          <w:szCs w:val="24"/>
          <w:lang w:val="en-US" w:eastAsia="zh-CN" w:bidi="ar-SA"/>
        </w:rPr>
        <w:t>2.</w:t>
      </w:r>
      <w:r>
        <w:rPr>
          <w:rStyle w:val="5"/>
          <w:rFonts w:hint="eastAsia" w:asciiTheme="minorEastAsia" w:hAnsiTheme="minorEastAsia" w:eastAsiaTheme="minorEastAsia" w:cstheme="minorEastAsia"/>
          <w:b/>
          <w:color w:val="auto"/>
          <w:sz w:val="24"/>
          <w:szCs w:val="24"/>
        </w:rPr>
        <w:t>案例教学课程</w:t>
      </w:r>
    </w:p>
    <w:p w14:paraId="2AF010C5">
      <w:pPr>
        <w:spacing w:line="360" w:lineRule="auto"/>
        <w:ind w:firstLine="480" w:firstLineChars="200"/>
        <w:jc w:val="left"/>
        <w:rPr>
          <w:rStyle w:val="5"/>
          <w:rFonts w:hint="eastAsia" w:asciiTheme="minorEastAsia" w:hAnsiTheme="minorEastAsia" w:eastAsiaTheme="minorEastAsia" w:cstheme="minorEastAsia"/>
          <w:color w:val="auto"/>
          <w:sz w:val="24"/>
          <w:szCs w:val="24"/>
        </w:rPr>
      </w:pPr>
      <w:r>
        <w:rPr>
          <w:rStyle w:val="5"/>
          <w:rFonts w:hint="eastAsia" w:asciiTheme="minorEastAsia" w:hAnsiTheme="minorEastAsia" w:eastAsiaTheme="minorEastAsia" w:cstheme="minorEastAsia"/>
          <w:color w:val="auto"/>
          <w:sz w:val="24"/>
          <w:szCs w:val="24"/>
        </w:rPr>
        <w:t>案例教学课程是指以案例教学为主要教学方式，案例为主要授课内容的课程，包括运用团队学习、案例分析、专题研讨、实践研究、模拟训练等。案例教学课程应包括若干教学案例，且各案例之间具有逻辑性，能系统性展示该课程的主要知识点。案例内容应立足专业学位研究生实践能力与创新能力的培养；应结合类别（领域）内重点、关键或前沿问题，或实践中代表性问题；应符合典型性、客观性、先进性和创新性的要求。</w:t>
      </w:r>
    </w:p>
    <w:p w14:paraId="4AA688AB">
      <w:pPr>
        <w:numPr>
          <w:ilvl w:val="0"/>
          <w:numId w:val="0"/>
        </w:numPr>
        <w:spacing w:line="360" w:lineRule="auto"/>
        <w:ind w:left="842" w:leftChars="0" w:hanging="360" w:firstLineChars="0"/>
        <w:rPr>
          <w:rStyle w:val="5"/>
          <w:rFonts w:hint="eastAsia" w:asciiTheme="minorEastAsia" w:hAnsiTheme="minorEastAsia" w:eastAsiaTheme="minorEastAsia" w:cstheme="minorEastAsia"/>
          <w:b/>
          <w:color w:val="auto"/>
          <w:sz w:val="24"/>
          <w:szCs w:val="24"/>
        </w:rPr>
      </w:pPr>
      <w:r>
        <w:rPr>
          <w:rFonts w:hint="default" w:asciiTheme="minorEastAsia" w:hAnsiTheme="minorEastAsia" w:eastAsiaTheme="minorEastAsia" w:cstheme="minorEastAsia"/>
          <w:b/>
          <w:color w:val="auto"/>
          <w:kern w:val="2"/>
          <w:sz w:val="24"/>
          <w:szCs w:val="24"/>
          <w:lang w:val="en-US" w:eastAsia="zh-CN" w:bidi="ar-SA"/>
        </w:rPr>
        <w:t>3.</w:t>
      </w:r>
      <w:r>
        <w:rPr>
          <w:rStyle w:val="5"/>
          <w:rFonts w:hint="eastAsia" w:asciiTheme="minorEastAsia" w:hAnsiTheme="minorEastAsia" w:eastAsiaTheme="minorEastAsia" w:cstheme="minorEastAsia"/>
          <w:b/>
          <w:color w:val="auto"/>
          <w:sz w:val="24"/>
          <w:szCs w:val="24"/>
        </w:rPr>
        <w:t>校企合作课程</w:t>
      </w:r>
    </w:p>
    <w:p w14:paraId="7563E4D5">
      <w:pPr>
        <w:spacing w:line="360" w:lineRule="auto"/>
        <w:ind w:firstLine="480" w:firstLineChars="200"/>
        <w:jc w:val="left"/>
        <w:rPr>
          <w:rStyle w:val="5"/>
          <w:rFonts w:hint="eastAsia" w:asciiTheme="minorEastAsia" w:hAnsiTheme="minorEastAsia" w:eastAsiaTheme="minorEastAsia" w:cstheme="minorEastAsia"/>
          <w:color w:val="auto"/>
          <w:sz w:val="24"/>
          <w:szCs w:val="24"/>
        </w:rPr>
      </w:pPr>
      <w:r>
        <w:rPr>
          <w:rStyle w:val="5"/>
          <w:rFonts w:hint="eastAsia" w:asciiTheme="minorEastAsia" w:hAnsiTheme="minorEastAsia" w:eastAsiaTheme="minorEastAsia" w:cstheme="minorEastAsia"/>
          <w:color w:val="auto"/>
          <w:sz w:val="24"/>
          <w:szCs w:val="24"/>
        </w:rPr>
        <w:t>校企合作课程是指与企业合作共建的课程，将企业优秀的资源融合到教学中，强化理论学习与实际应用的结合，可在我校或企业开展。包含聘请行业专家开展专业学位研究生的专业技术或管理课程报告、合作开发并讲授专业课程等学分教学活动。</w:t>
      </w:r>
    </w:p>
    <w:p w14:paraId="19F16F5B">
      <w:pPr>
        <w:widowControl/>
        <w:numPr>
          <w:ilvl w:val="0"/>
          <w:numId w:val="0"/>
        </w:numPr>
        <w:spacing w:line="360" w:lineRule="auto"/>
        <w:ind w:left="842" w:leftChars="0" w:hanging="360" w:firstLineChars="0"/>
        <w:jc w:val="left"/>
        <w:rPr>
          <w:rFonts w:hint="eastAsia" w:asciiTheme="minorEastAsia" w:hAnsiTheme="minorEastAsia" w:eastAsiaTheme="minorEastAsia" w:cstheme="minorEastAsia"/>
          <w:b/>
          <w:sz w:val="24"/>
        </w:rPr>
      </w:pPr>
      <w:r>
        <w:rPr>
          <w:rFonts w:hint="default" w:asciiTheme="minorEastAsia" w:hAnsiTheme="minorEastAsia" w:eastAsiaTheme="minorEastAsia" w:cstheme="minorEastAsia"/>
          <w:b/>
          <w:kern w:val="2"/>
          <w:sz w:val="24"/>
          <w:szCs w:val="24"/>
          <w:lang w:val="en-US" w:eastAsia="zh-CN" w:bidi="ar-SA"/>
        </w:rPr>
        <w:t>4.</w:t>
      </w:r>
      <w:r>
        <w:rPr>
          <w:rFonts w:hint="eastAsia" w:asciiTheme="minorEastAsia" w:hAnsiTheme="minorEastAsia" w:eastAsiaTheme="minorEastAsia" w:cstheme="minorEastAsia"/>
          <w:b/>
          <w:sz w:val="24"/>
        </w:rPr>
        <w:t>技术前沿课程</w:t>
      </w:r>
    </w:p>
    <w:p w14:paraId="401EA463">
      <w:pPr>
        <w:widowControl/>
        <w:spacing w:line="360" w:lineRule="auto"/>
        <w:ind w:left="160" w:leftChars="50" w:firstLine="480" w:firstLineChars="200"/>
        <w:jc w:val="left"/>
        <w:rPr>
          <w:rStyle w:val="5"/>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rPr>
        <w:t xml:space="preserve">技术前沿课程是指开阔研究生视野、强化技术发展前沿意识训练、完善研究生知识结构、引起研究生对新知识探求的兴趣、培养研究生创新思维和创新意识的课程。 </w:t>
      </w:r>
    </w:p>
    <w:p w14:paraId="72AFB8FF">
      <w:pPr>
        <w:widowControl/>
        <w:numPr>
          <w:ilvl w:val="0"/>
          <w:numId w:val="0"/>
        </w:numPr>
        <w:spacing w:line="360" w:lineRule="auto"/>
        <w:ind w:left="842" w:leftChars="0" w:hanging="360" w:firstLineChars="0"/>
        <w:jc w:val="left"/>
        <w:rPr>
          <w:rStyle w:val="5"/>
          <w:rFonts w:hint="eastAsia" w:asciiTheme="minorEastAsia" w:hAnsiTheme="minorEastAsia" w:eastAsiaTheme="minorEastAsia" w:cstheme="minorEastAsia"/>
          <w:b/>
          <w:color w:val="auto"/>
          <w:sz w:val="24"/>
          <w:szCs w:val="24"/>
        </w:rPr>
      </w:pPr>
      <w:r>
        <w:rPr>
          <w:rFonts w:hint="default" w:asciiTheme="minorEastAsia" w:hAnsiTheme="minorEastAsia" w:eastAsiaTheme="minorEastAsia" w:cstheme="minorEastAsia"/>
          <w:b/>
          <w:color w:val="auto"/>
          <w:kern w:val="2"/>
          <w:sz w:val="24"/>
          <w:szCs w:val="24"/>
          <w:lang w:val="en-US" w:eastAsia="zh-CN" w:bidi="ar-SA"/>
        </w:rPr>
        <w:t>5.</w:t>
      </w:r>
      <w:r>
        <w:rPr>
          <w:rStyle w:val="5"/>
          <w:rFonts w:hint="eastAsia" w:asciiTheme="minorEastAsia" w:hAnsiTheme="minorEastAsia" w:eastAsiaTheme="minorEastAsia" w:cstheme="minorEastAsia"/>
          <w:b/>
          <w:color w:val="auto"/>
          <w:sz w:val="24"/>
          <w:szCs w:val="24"/>
        </w:rPr>
        <w:t>职业资格课程</w:t>
      </w:r>
    </w:p>
    <w:p w14:paraId="108D255E">
      <w:pPr>
        <w:widowControl/>
        <w:spacing w:line="360" w:lineRule="auto"/>
        <w:ind w:firstLine="480" w:firstLineChars="200"/>
        <w:jc w:val="left"/>
        <w:rPr>
          <w:rStyle w:val="5"/>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rPr>
        <w:t>职业资格课程是指</w:t>
      </w:r>
      <w:r>
        <w:rPr>
          <w:rStyle w:val="5"/>
          <w:rFonts w:hint="eastAsia" w:asciiTheme="minorEastAsia" w:hAnsiTheme="minorEastAsia" w:eastAsiaTheme="minorEastAsia" w:cstheme="minorEastAsia"/>
          <w:color w:val="auto"/>
          <w:sz w:val="24"/>
          <w:szCs w:val="24"/>
        </w:rPr>
        <w:t>课程内容和知识体系与职业资格认证或考试科目衔接、与职业技能标准对接的课程。</w:t>
      </w:r>
    </w:p>
    <w:p w14:paraId="5B47731F">
      <w:pPr>
        <w:spacing w:line="360" w:lineRule="auto"/>
        <w:ind w:firstLine="482" w:firstLineChars="200"/>
        <w:rPr>
          <w:rStyle w:val="5"/>
          <w:rFonts w:hint="eastAsia" w:asciiTheme="minorEastAsia" w:hAnsiTheme="minorEastAsia" w:eastAsiaTheme="minorEastAsia" w:cstheme="minorEastAsia"/>
          <w:b/>
          <w:color w:val="auto"/>
          <w:sz w:val="24"/>
          <w:szCs w:val="24"/>
        </w:rPr>
      </w:pPr>
      <w:r>
        <w:rPr>
          <w:rStyle w:val="5"/>
          <w:rFonts w:hint="eastAsia" w:asciiTheme="minorEastAsia" w:hAnsiTheme="minorEastAsia" w:eastAsiaTheme="minorEastAsia" w:cstheme="minorEastAsia"/>
          <w:b/>
          <w:color w:val="auto"/>
          <w:sz w:val="24"/>
          <w:szCs w:val="24"/>
        </w:rPr>
        <w:t>6.创新创业课程</w:t>
      </w:r>
    </w:p>
    <w:p w14:paraId="5A7B5114">
      <w:pPr>
        <w:spacing w:line="360" w:lineRule="auto"/>
        <w:ind w:firstLine="480" w:firstLineChars="200"/>
        <w:rPr>
          <w:rStyle w:val="5"/>
          <w:rFonts w:hint="default" w:asciiTheme="minorEastAsia" w:hAnsiTheme="minorEastAsia" w:eastAsiaTheme="minorEastAsia" w:cstheme="minorEastAsia"/>
          <w:color w:val="auto"/>
          <w:sz w:val="24"/>
          <w:szCs w:val="24"/>
          <w:lang w:val="en-US" w:eastAsia="zh-CN"/>
        </w:rPr>
      </w:pPr>
      <w:r>
        <w:rPr>
          <w:rStyle w:val="5"/>
          <w:rFonts w:hint="eastAsia" w:asciiTheme="minorEastAsia" w:hAnsiTheme="minorEastAsia" w:eastAsiaTheme="minorEastAsia" w:cstheme="minorEastAsia"/>
          <w:color w:val="auto"/>
          <w:sz w:val="24"/>
          <w:szCs w:val="24"/>
        </w:rPr>
        <w:t>创新创业课程是指将创新创业能力培养融入课程体系，突出学生创新能力和实践能力的培养、充分体现学科专业特点的课程。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创艺简标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50CCC"/>
    <w:rsid w:val="01650CCC"/>
    <w:rsid w:val="16A9136C"/>
    <w:rsid w:val="307E3BFB"/>
    <w:rsid w:val="7C534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character" w:customStyle="1" w:styleId="5">
    <w:name w:val="fontstyle01"/>
    <w:uiPriority w:val="0"/>
    <w:rPr>
      <w:rFonts w:hint="eastAsia" w:ascii="仿宋_GB2312" w:eastAsia="仿宋_GB2312"/>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1189</Words>
  <Characters>1201</Characters>
  <Lines>0</Lines>
  <Paragraphs>0</Paragraphs>
  <TotalTime>36</TotalTime>
  <ScaleCrop>false</ScaleCrop>
  <LinksUpToDate>false</LinksUpToDate>
  <CharactersWithSpaces>1205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2025-11-25T09:34:00Z</dcterms:created>
  <dc:creator>詹志城</dc:creator>
  <cp:lastModifiedBy>詹志城</cp:lastModifiedBy>
  <dcterms:modified xsi:type="dcterms:W3CDTF">2025-12-11T01:57:03Z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E676EC10641B49CFAB807EACD4BD366E_11</vt:lpwstr>
  </property>
  <property fmtid="{D5CDD505-2E9C-101B-9397-08002B2CF9AE}" pid="4" name="KSOTemplateDocerSaveRecord">
    <vt:lpwstr>eyJoZGlkIjoiMzU4M2FjZWI1ZGNmNzRhZDRmYjEwZGU2YmM2ZTI3NjMiLCJ1c2VySWQiOiI3OTE0OTc5OTMifQ==</vt:lpwstr>
  </property>
</Properties>
</file>